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widowControl w:val="1"/>
        <w:spacing w:line="240" w:lineRule="auto"/>
        <w:ind w:firstLine="0" w:left="5386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УТВЕРЖДАЮ</w:t>
      </w:r>
    </w:p>
    <w:p w14:paraId="05000000">
      <w:pPr>
        <w:widowControl w:val="1"/>
        <w:spacing w:line="240" w:lineRule="auto"/>
        <w:ind w:firstLine="0" w:left="5386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sz w:val="28"/>
        </w:rPr>
        <w:t xml:space="preserve">аместитель главы </w:t>
      </w: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>Туапсинского муниципального округа</w:t>
      </w:r>
    </w:p>
    <w:p w14:paraId="06000000">
      <w:pPr>
        <w:widowControl w:val="1"/>
        <w:spacing w:line="240" w:lineRule="auto"/>
        <w:ind w:firstLine="0" w:left="5386" w:right="0"/>
        <w:rPr>
          <w:rFonts w:ascii="Times New Roman" w:hAnsi="Times New Roman"/>
          <w:sz w:val="28"/>
        </w:rPr>
      </w:pPr>
    </w:p>
    <w:p w14:paraId="07000000">
      <w:pPr>
        <w:widowControl w:val="1"/>
        <w:spacing w:line="240" w:lineRule="auto"/>
        <w:ind w:firstLine="0" w:left="5386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____________ </w:t>
      </w: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Е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Мирошниченко</w:t>
      </w:r>
    </w:p>
    <w:p w14:paraId="08000000">
      <w:pPr>
        <w:spacing w:line="240" w:lineRule="auto"/>
        <w:ind/>
        <w:rPr>
          <w:rFonts w:ascii="Times New Roman" w:hAnsi="Times New Roman"/>
          <w:sz w:val="28"/>
        </w:rPr>
      </w:pPr>
    </w:p>
    <w:p w14:paraId="09000000">
      <w:pPr>
        <w:spacing w:line="240" w:lineRule="auto"/>
        <w:ind/>
        <w:rPr>
          <w:rFonts w:ascii="Times New Roman" w:hAnsi="Times New Roman"/>
          <w:sz w:val="28"/>
        </w:rPr>
      </w:pPr>
    </w:p>
    <w:p w14:paraId="0A000000">
      <w:pPr>
        <w:spacing w:line="240" w:lineRule="auto"/>
        <w:ind/>
        <w:rPr>
          <w:rFonts w:ascii="Times New Roman" w:hAnsi="Times New Roman"/>
          <w:sz w:val="28"/>
        </w:rPr>
      </w:pPr>
    </w:p>
    <w:p w14:paraId="0B000000">
      <w:pPr>
        <w:tabs>
          <w:tab w:leader="none" w:pos="3900" w:val="left"/>
        </w:tabs>
        <w:spacing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Протокол № </w:t>
      </w:r>
      <w:r>
        <w:rPr>
          <w:rFonts w:ascii="Times New Roman" w:hAnsi="Times New Roman"/>
          <w:b w:val="1"/>
          <w:sz w:val="28"/>
        </w:rPr>
        <w:t>1</w:t>
      </w:r>
    </w:p>
    <w:p w14:paraId="0C000000">
      <w:pPr>
        <w:widowControl w:val="0"/>
        <w:numPr>
          <w:ilvl w:val="0"/>
          <w:numId w:val="0"/>
        </w:numPr>
        <w:spacing w:line="240" w:lineRule="auto"/>
        <w:ind w:firstLine="0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заседания</w:t>
      </w:r>
      <w:r>
        <w:rPr>
          <w:rFonts w:ascii="Times New Roman" w:hAnsi="Times New Roman"/>
          <w:b w:val="1"/>
          <w:sz w:val="28"/>
        </w:rPr>
        <w:t xml:space="preserve"> комиссии по определению объема и предоставления</w:t>
      </w:r>
    </w:p>
    <w:p w14:paraId="0D000000">
      <w:pPr>
        <w:widowControl w:val="0"/>
        <w:numPr>
          <w:ilvl w:val="0"/>
          <w:numId w:val="0"/>
        </w:numPr>
        <w:spacing w:line="240" w:lineRule="auto"/>
        <w:ind w:firstLine="0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субсидий из бюджета муниципального образования</w:t>
      </w:r>
    </w:p>
    <w:p w14:paraId="0E000000">
      <w:pPr>
        <w:widowControl w:val="0"/>
        <w:numPr>
          <w:ilvl w:val="0"/>
          <w:numId w:val="0"/>
        </w:numPr>
        <w:spacing w:line="240" w:lineRule="auto"/>
        <w:ind w:firstLine="0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Туапсинский район реестровым казачьим обществам,</w:t>
      </w:r>
    </w:p>
    <w:p w14:paraId="0F000000">
      <w:pPr>
        <w:widowControl w:val="0"/>
        <w:numPr>
          <w:ilvl w:val="0"/>
          <w:numId w:val="0"/>
        </w:numPr>
        <w:spacing w:line="240" w:lineRule="auto"/>
        <w:ind w:firstLine="0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осуществляющим свою деятельность на территории</w:t>
      </w:r>
    </w:p>
    <w:p w14:paraId="10000000">
      <w:pPr>
        <w:widowControl w:val="0"/>
        <w:numPr>
          <w:ilvl w:val="0"/>
          <w:numId w:val="0"/>
        </w:numPr>
        <w:spacing w:line="240" w:lineRule="auto"/>
        <w:ind w:firstLine="0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Туапсинского района</w:t>
      </w:r>
    </w:p>
    <w:p w14:paraId="11000000">
      <w:pPr>
        <w:spacing w:line="240" w:lineRule="auto"/>
        <w:ind/>
        <w:rPr>
          <w:rFonts w:ascii="Times New Roman" w:hAnsi="Times New Roman"/>
          <w:b w:val="1"/>
          <w:sz w:val="28"/>
        </w:rPr>
      </w:pPr>
    </w:p>
    <w:p w14:paraId="12000000">
      <w:pPr>
        <w:spacing w:line="240" w:lineRule="auto"/>
        <w:ind/>
        <w:rPr>
          <w:rFonts w:ascii="Times New Roman" w:hAnsi="Times New Roman"/>
          <w:b w:val="1"/>
          <w:sz w:val="28"/>
        </w:rPr>
      </w:pPr>
    </w:p>
    <w:p w14:paraId="13000000">
      <w:pPr>
        <w:spacing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color w:val="000000"/>
          <w:sz w:val="28"/>
        </w:rPr>
        <w:t>января</w:t>
      </w:r>
      <w:r>
        <w:rPr>
          <w:rFonts w:ascii="Times New Roman" w:hAnsi="Times New Roman"/>
          <w:sz w:val="28"/>
        </w:rPr>
        <w:t xml:space="preserve"> 2025</w:t>
      </w:r>
      <w:r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город Туапсе</w:t>
      </w:r>
    </w:p>
    <w:p w14:paraId="14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15000000">
      <w:pPr>
        <w:spacing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ходе рассмотрения вопроса </w:t>
      </w:r>
      <w:r>
        <w:rPr>
          <w:rFonts w:ascii="Times New Roman" w:hAnsi="Times New Roman"/>
          <w:sz w:val="28"/>
        </w:rPr>
        <w:t xml:space="preserve">по определению объема и предоставления субсидий из бюджета Туапсинского муниципального округа реестровым казачьим обществам, осуществляющим свою деятельность на территории </w:t>
      </w: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>, на заседании комиссии было установлено следующее:</w:t>
      </w:r>
    </w:p>
    <w:p w14:paraId="16000000">
      <w:pPr>
        <w:spacing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 докладе секретаря комиссии по определению объема и предоставления субсидий из бюджета муниципального образования Туапсинский район реестровым казачьим обществам, осуществляющим свою деятельность на территории Туапсинского района Бралгиным Д.А. отмечено то, что предоставлена одна </w:t>
      </w:r>
      <w:r>
        <w:rPr>
          <w:rFonts w:ascii="Times New Roman" w:hAnsi="Times New Roman"/>
          <w:sz w:val="28"/>
        </w:rPr>
        <w:t>заявка</w:t>
      </w:r>
      <w:r>
        <w:rPr>
          <w:rFonts w:ascii="Times New Roman" w:hAnsi="Times New Roman"/>
          <w:sz w:val="28"/>
        </w:rPr>
        <w:t xml:space="preserve"> Туапсинским районным казачьим обществом на оказание:</w:t>
      </w:r>
    </w:p>
    <w:p w14:paraId="17000000">
      <w:pPr>
        <w:spacing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финансовой поддержки социально ориентированных казачьих обществ на осуществление деятельности по профилактике социально опасных форм поведения в сумме 5252070 (пяти миллионов двухсот пятидесяти двух тысяч семидесяти) рублей 00 копеек.</w:t>
      </w:r>
    </w:p>
    <w:p w14:paraId="18000000">
      <w:pPr>
        <w:spacing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sz w:val="28"/>
        </w:rPr>
        <w:t>Заявка</w:t>
      </w:r>
      <w:r>
        <w:rPr>
          <w:rFonts w:ascii="Times New Roman" w:hAnsi="Times New Roman"/>
          <w:sz w:val="28"/>
        </w:rPr>
        <w:t xml:space="preserve"> подана</w:t>
      </w:r>
      <w:r>
        <w:rPr>
          <w:rFonts w:ascii="Times New Roman" w:hAnsi="Times New Roman"/>
          <w:sz w:val="28"/>
        </w:rPr>
        <w:t xml:space="preserve"> в соответствии с постановлением администрации муниципального образования Туапсинский район от 15 апреля 2015 г. № 1133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«Об утверждении Порядка </w:t>
      </w:r>
      <w:r>
        <w:rPr>
          <w:rFonts w:ascii="Times New Roman" w:hAnsi="Times New Roman"/>
          <w:sz w:val="28"/>
        </w:rPr>
        <w:t xml:space="preserve">определения объема и предоставления субсидий из бюджета муниципального образования Туапсинский район реестровым казачьим обществам, осуществляющим свою деятельность на территории Туапсинского района» (в редакции постановления от </w:t>
      </w:r>
      <w:r>
        <w:rPr>
          <w:rFonts w:ascii="Times New Roman" w:hAnsi="Times New Roman"/>
          <w:color w:val="000000"/>
          <w:sz w:val="28"/>
        </w:rPr>
        <w:t>26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ок</w:t>
      </w:r>
      <w:r>
        <w:rPr>
          <w:rFonts w:ascii="Times New Roman" w:hAnsi="Times New Roman"/>
          <w:color w:val="000000"/>
          <w:sz w:val="28"/>
        </w:rPr>
        <w:t>тябр</w:t>
      </w:r>
      <w:r>
        <w:rPr>
          <w:rFonts w:ascii="Times New Roman" w:hAnsi="Times New Roman"/>
          <w:sz w:val="28"/>
        </w:rPr>
        <w:t>я 20</w:t>
      </w: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sz w:val="28"/>
        </w:rPr>
        <w:t xml:space="preserve"> г.           № </w:t>
      </w: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>958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color w:val="000000"/>
          <w:sz w:val="28"/>
        </w:rPr>
        <w:t>и может быть рассмотрена на заседании комиссии для принятия решения о предоставлении субсидии Туапсинскому районному казачьему обществу, либо отказе в предоставлении субсидии</w:t>
      </w:r>
      <w:r>
        <w:rPr>
          <w:rFonts w:ascii="Times New Roman" w:hAnsi="Times New Roman"/>
          <w:sz w:val="28"/>
        </w:rPr>
        <w:t>.</w:t>
      </w:r>
    </w:p>
    <w:p w14:paraId="19000000">
      <w:pPr>
        <w:widowControl w:val="0"/>
        <w:numPr>
          <w:ilvl w:val="0"/>
          <w:numId w:val="0"/>
        </w:numPr>
        <w:spacing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1A000000">
      <w:pPr>
        <w:widowControl w:val="0"/>
        <w:numPr>
          <w:ilvl w:val="0"/>
          <w:numId w:val="0"/>
        </w:numPr>
        <w:spacing w:line="240" w:lineRule="auto"/>
        <w:ind w:firstLine="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color w:val="000000"/>
          <w:sz w:val="28"/>
        </w:rPr>
        <w:t>____</w:t>
      </w:r>
      <w:r>
        <w:rPr>
          <w:rFonts w:ascii="Times New Roman" w:hAnsi="Times New Roman"/>
          <w:color w:val="000000"/>
          <w:sz w:val="28"/>
        </w:rPr>
        <w:t>__________ Д.А. Бралгин</w:t>
      </w:r>
    </w:p>
    <w:p w14:paraId="1B000000">
      <w:pPr>
        <w:widowControl w:val="0"/>
        <w:numPr>
          <w:ilvl w:val="0"/>
          <w:numId w:val="0"/>
        </w:numPr>
        <w:spacing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1C000000">
      <w:pPr>
        <w:widowControl w:val="0"/>
        <w:numPr>
          <w:ilvl w:val="0"/>
          <w:numId w:val="0"/>
        </w:numPr>
        <w:spacing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В докладе начальника отдела учета и отчетности администрации Туапсинского муниципального округа </w:t>
      </w:r>
      <w:r>
        <w:rPr>
          <w:rFonts w:ascii="Times New Roman" w:hAnsi="Times New Roman"/>
          <w:color w:val="000000"/>
          <w:sz w:val="28"/>
        </w:rPr>
        <w:t>Антоновой С.А.</w:t>
      </w:r>
      <w:r>
        <w:rPr>
          <w:rFonts w:ascii="Times New Roman" w:hAnsi="Times New Roman"/>
          <w:sz w:val="28"/>
        </w:rPr>
        <w:t xml:space="preserve"> (член комиссии) было отмечено то, что в соответствии с пунктом 2 статьи 78.1 Бюджетного кодекса Российской Федерации имеются основания для предоставления субсиди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Туапсинскому районному казачьему обществу.</w:t>
      </w:r>
    </w:p>
    <w:p w14:paraId="1D000000">
      <w:pPr>
        <w:widowControl w:val="0"/>
        <w:numPr>
          <w:ilvl w:val="0"/>
          <w:numId w:val="0"/>
        </w:numPr>
        <w:spacing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1E000000">
      <w:pPr>
        <w:numPr>
          <w:ilvl w:val="0"/>
          <w:numId w:val="0"/>
        </w:numPr>
        <w:spacing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_____________ </w:t>
      </w: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Антонова</w:t>
      </w:r>
    </w:p>
    <w:p w14:paraId="1F000000">
      <w:pPr>
        <w:widowControl w:val="0"/>
        <w:numPr>
          <w:ilvl w:val="0"/>
          <w:numId w:val="0"/>
        </w:numPr>
        <w:spacing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20000000">
      <w:pPr>
        <w:widowControl w:val="0"/>
        <w:numPr>
          <w:ilvl w:val="0"/>
          <w:numId w:val="0"/>
        </w:numPr>
        <w:spacing w:line="240" w:lineRule="auto"/>
        <w:ind w:firstLine="709" w:left="0" w:right="0"/>
        <w:jc w:val="both"/>
      </w:pP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В докладе начальника управления внутренней </w:t>
      </w:r>
      <w:r>
        <w:rPr>
          <w:rFonts w:ascii="Times New Roman" w:hAnsi="Times New Roman"/>
          <w:color w:val="000000"/>
          <w:sz w:val="28"/>
        </w:rPr>
        <w:t xml:space="preserve">политики администрации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color w:val="000000"/>
          <w:sz w:val="28"/>
        </w:rPr>
        <w:t xml:space="preserve"> Куприянов</w:t>
      </w:r>
      <w:r>
        <w:rPr>
          <w:rFonts w:ascii="Times New Roman" w:hAnsi="Times New Roman"/>
          <w:color w:val="000000"/>
          <w:sz w:val="28"/>
        </w:rPr>
        <w:t>ым</w:t>
      </w:r>
      <w:r>
        <w:rPr>
          <w:rFonts w:ascii="Times New Roman" w:hAnsi="Times New Roman"/>
          <w:color w:val="000000"/>
          <w:sz w:val="28"/>
        </w:rPr>
        <w:t xml:space="preserve"> А.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>. (член комиссии) было отмечено то, что в соответствии со статьей 31.1 Федерального закона от 12 января 1996 г. № 7-ФЗ «О некоммерческих организациях» имеются основания для предоставления субсиди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Туапсинскому районному казачьему обществу.</w:t>
      </w:r>
    </w:p>
    <w:p w14:paraId="21000000">
      <w:pPr>
        <w:widowControl w:val="0"/>
        <w:ind w:firstLine="0" w:left="0" w:right="0"/>
        <w:jc w:val="left"/>
        <w:rPr>
          <w:rFonts w:ascii="Times New Roman" w:hAnsi="Times New Roman"/>
          <w:sz w:val="28"/>
        </w:rPr>
      </w:pPr>
    </w:p>
    <w:p w14:paraId="22000000">
      <w:pPr>
        <w:numPr>
          <w:ilvl w:val="0"/>
          <w:numId w:val="0"/>
        </w:numPr>
      </w:pP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    ____________ А.А. Куприянов</w:t>
      </w:r>
    </w:p>
    <w:p w14:paraId="23000000">
      <w:pPr>
        <w:widowControl w:val="0"/>
        <w:numPr>
          <w:ilvl w:val="0"/>
          <w:numId w:val="0"/>
        </w:numPr>
        <w:spacing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24000000">
      <w:pPr>
        <w:widowControl w:val="0"/>
        <w:numPr>
          <w:ilvl w:val="0"/>
          <w:numId w:val="0"/>
        </w:numPr>
        <w:spacing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sz w:val="28"/>
        </w:rPr>
        <w:t>В докладе начальника управления экономического развития администрации Туапсинского муниципального округа Стамбольжи М.А. (член комиссии) было отмечено то, что подпрограмма «</w:t>
      </w:r>
      <w:r>
        <w:rPr>
          <w:rFonts w:ascii="Times New Roman" w:hAnsi="Times New Roman"/>
          <w:b w:val="0"/>
          <w:sz w:val="28"/>
        </w:rPr>
        <w:t>Поддержка социально ориентированных реестровых казачьих обществ Туапсинского муниципального округа, в том числе на осуществление деятельности по профилактике социально опасных форм поведения</w:t>
      </w:r>
      <w:r>
        <w:rPr>
          <w:rFonts w:ascii="Times New Roman" w:hAnsi="Times New Roman"/>
          <w:sz w:val="28"/>
        </w:rPr>
        <w:t>» муниципальной программы «Обеспечение безопасности населения» в рамках, которой предоставляется указанная субсидия, принята в соответствии с постановлением администрации Туапсинского муниципального округа от 21 июля 2015 года № 1844 «</w:t>
      </w:r>
      <w:r>
        <w:rPr>
          <w:rFonts w:ascii="Times New Roman" w:hAnsi="Times New Roman"/>
          <w:sz w:val="28"/>
        </w:rPr>
        <w:t>Об утверждении порядка принятия решения о разработке, формировании, реализации и оценки эффективности реализации муниципальных программ муниципального образования Туапсинский район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(с изменениями) </w:t>
      </w:r>
      <w:r>
        <w:rPr>
          <w:rFonts w:ascii="Times New Roman" w:hAnsi="Times New Roman"/>
          <w:sz w:val="28"/>
        </w:rPr>
        <w:t>имеются основания для предоставления субсидии Туапсинскому районному казачьему обществу.</w:t>
      </w:r>
    </w:p>
    <w:p w14:paraId="25000000">
      <w:pPr>
        <w:numPr>
          <w:ilvl w:val="0"/>
          <w:numId w:val="0"/>
        </w:num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26000000">
      <w:pPr>
        <w:numPr>
          <w:ilvl w:val="0"/>
          <w:numId w:val="0"/>
        </w:numPr>
        <w:spacing w:line="240" w:lineRule="auto"/>
        <w:ind w:firstLine="0" w:left="566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__________ М.А. Стамбольжи</w:t>
      </w:r>
    </w:p>
    <w:p w14:paraId="27000000">
      <w:pPr>
        <w:numPr>
          <w:ilvl w:val="0"/>
          <w:numId w:val="0"/>
        </w:num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28000000">
      <w:pPr>
        <w:numPr>
          <w:ilvl w:val="0"/>
          <w:numId w:val="0"/>
        </w:num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29000000">
      <w:pPr>
        <w:widowControl w:val="0"/>
        <w:numPr>
          <w:ilvl w:val="0"/>
          <w:numId w:val="0"/>
        </w:numPr>
        <w:spacing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2A000000">
      <w:pPr>
        <w:spacing w:line="240" w:lineRule="auto"/>
        <w:ind w:firstLine="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Члены комиссии обсудили полученную информацию и приняли</w:t>
      </w:r>
    </w:p>
    <w:p w14:paraId="2B000000">
      <w:pPr>
        <w:spacing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2C000000">
      <w:pPr>
        <w:spacing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2D000000">
      <w:pPr>
        <w:spacing w:line="240" w:lineRule="auto"/>
        <w:ind w:firstLine="0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РЕШЕНИЕ</w:t>
      </w:r>
      <w:r>
        <w:rPr>
          <w:rFonts w:ascii="Times New Roman" w:hAnsi="Times New Roman"/>
          <w:b w:val="1"/>
          <w:sz w:val="28"/>
        </w:rPr>
        <w:t>:</w:t>
      </w:r>
    </w:p>
    <w:p w14:paraId="2E000000">
      <w:pPr>
        <w:spacing w:line="240" w:lineRule="auto"/>
        <w:ind w:firstLine="0" w:left="0" w:right="0"/>
        <w:jc w:val="left"/>
        <w:rPr>
          <w:rFonts w:ascii="Times New Roman" w:hAnsi="Times New Roman"/>
          <w:sz w:val="28"/>
        </w:rPr>
      </w:pPr>
    </w:p>
    <w:p w14:paraId="2F000000">
      <w:pPr>
        <w:spacing w:line="240" w:lineRule="auto"/>
        <w:ind w:firstLine="0" w:left="0" w:right="0"/>
        <w:jc w:val="left"/>
        <w:rPr>
          <w:rFonts w:ascii="Times New Roman" w:hAnsi="Times New Roman"/>
          <w:sz w:val="28"/>
        </w:rPr>
      </w:pPr>
    </w:p>
    <w:p w14:paraId="30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Утвердить список претендентов, допущенных к участию в конкурсе (Прилагается).</w:t>
      </w:r>
    </w:p>
    <w:p w14:paraId="31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Определить победителем конкурса и выплатить субсиди</w:t>
      </w:r>
      <w:r>
        <w:rPr>
          <w:rFonts w:ascii="Times New Roman" w:hAnsi="Times New Roman"/>
          <w:color w:val="000000"/>
          <w:sz w:val="28"/>
        </w:rPr>
        <w:t xml:space="preserve">ю </w:t>
      </w:r>
      <w:r>
        <w:rPr>
          <w:rFonts w:ascii="Times New Roman" w:hAnsi="Times New Roman"/>
          <w:sz w:val="28"/>
        </w:rPr>
        <w:t xml:space="preserve">Туапсинскому районному </w:t>
      </w:r>
      <w:r>
        <w:rPr>
          <w:rFonts w:ascii="Times New Roman" w:hAnsi="Times New Roman"/>
          <w:sz w:val="28"/>
        </w:rPr>
        <w:t xml:space="preserve">казачьему </w:t>
      </w:r>
      <w:r>
        <w:rPr>
          <w:rFonts w:ascii="Times New Roman" w:hAnsi="Times New Roman"/>
          <w:sz w:val="28"/>
        </w:rPr>
        <w:t>обществу на оказание:</w:t>
      </w:r>
    </w:p>
    <w:p w14:paraId="32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финансовой поддержки социально ориентированных казачьих обществ на осуществление деятельности по профилактике социально опасных форм поведения в сумме 5252070 (пяти миллионов двухсот пятидесяти двух тысяч семидесяти) рублей 00 копеек.</w:t>
      </w:r>
    </w:p>
    <w:p w14:paraId="33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sz w:val="28"/>
        </w:rPr>
        <w:t xml:space="preserve">. Отделу по взаимодействию со СМИ администрации Туапсинского муниципального округа (Россиева Е.Ю.) опубликовать настоящее решение в средствах массовой информации Туапсинского муниципального округа и на официальном сайте администрации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.</w:t>
      </w:r>
    </w:p>
    <w:p w14:paraId="34000000">
      <w:pPr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 Настоящее решение вступает в силу со дня его опубликования.</w:t>
      </w:r>
    </w:p>
    <w:p w14:paraId="35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36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37000000">
      <w:pPr>
        <w:spacing w:line="240" w:lineRule="auto"/>
        <w:ind/>
        <w:jc w:val="both"/>
        <w:rPr>
          <w:rFonts w:ascii="Times New Roman" w:hAnsi="Times New Roman"/>
          <w:sz w:val="28"/>
        </w:rPr>
      </w:pPr>
    </w:p>
    <w:p w14:paraId="38000000">
      <w:pPr>
        <w:spacing w:after="0" w:before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Секретарь комиссии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   Д.А. Бралгин</w:t>
      </w:r>
    </w:p>
    <w:sectPr>
      <w:headerReference r:id="rId2" w:type="default"/>
      <w:headerReference r:id="rId1" w:type="first"/>
      <w:pgSz w:h="16838" w:orient="portrait" w:w="11906"/>
      <w:pgMar w:bottom="1134" w:footer="708" w:header="708" w:left="1701" w:right="567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9860" cy="238759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49860" cy="238759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3000000">
                          <w:pPr>
                            <w:pStyle w:val="Style_1"/>
                            <w:rPr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spacing w:val="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27940" lIns="27940" rIns="27940" tIns="2794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4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Указатель"/>
    <w:basedOn w:val="Style_3"/>
    <w:link w:val="Style_5_ch"/>
    <w:rPr>
      <w:rFonts w:ascii="Times New Roman" w:hAnsi="Times New Roman"/>
    </w:rPr>
  </w:style>
  <w:style w:styleId="Style_5_ch" w:type="character">
    <w:name w:val="Указатель"/>
    <w:basedOn w:val="Style_3_ch"/>
    <w:link w:val="Style_5"/>
    <w:rPr>
      <w:rFonts w:ascii="Times New Roman" w:hAnsi="Times New Roman"/>
    </w:rPr>
  </w:style>
  <w:style w:styleId="Style_6" w:type="paragraph">
    <w:name w:val="toc 4"/>
    <w:next w:val="Style_3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Текст выноски Знак"/>
    <w:link w:val="Style_9_ch"/>
    <w:rPr>
      <w:rFonts w:ascii="Tahoma" w:hAnsi="Tahoma"/>
      <w:sz w:val="16"/>
    </w:rPr>
  </w:style>
  <w:style w:styleId="Style_9_ch" w:type="character">
    <w:name w:val="Текст выноски Знак"/>
    <w:link w:val="Style_9"/>
    <w:rPr>
      <w:rFonts w:ascii="Tahoma" w:hAnsi="Tahoma"/>
      <w:sz w:val="16"/>
    </w:rPr>
  </w:style>
  <w:style w:styleId="Style_10" w:type="paragraph">
    <w:name w:val="footer"/>
    <w:basedOn w:val="Style_3"/>
    <w:link w:val="Style_10_ch"/>
    <w:pPr>
      <w:tabs>
        <w:tab w:leader="none" w:pos="4677" w:val="center"/>
        <w:tab w:leader="none" w:pos="9355" w:val="right"/>
      </w:tabs>
      <w:ind/>
    </w:pPr>
  </w:style>
  <w:style w:styleId="Style_10_ch" w:type="character">
    <w:name w:val="footer"/>
    <w:basedOn w:val="Style_3_ch"/>
    <w:link w:val="Style_10"/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3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Верхний и нижний колонтитулы"/>
    <w:basedOn w:val="Style_3"/>
    <w:link w:val="Style_13_ch"/>
    <w:pPr>
      <w:tabs>
        <w:tab w:leader="none" w:pos="4819" w:val="center"/>
        <w:tab w:leader="none" w:pos="9638" w:val="right"/>
      </w:tabs>
      <w:ind/>
    </w:pPr>
  </w:style>
  <w:style w:styleId="Style_13_ch" w:type="character">
    <w:name w:val="Верхний и нижний колонтитулы"/>
    <w:basedOn w:val="Style_3_ch"/>
    <w:link w:val="Style_13"/>
  </w:style>
  <w:style w:styleId="Style_14" w:type="paragraph">
    <w:name w:val="toc 3"/>
    <w:next w:val="Style_3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Текст выноски"/>
    <w:basedOn w:val="Style_3"/>
    <w:link w:val="Style_15_ch"/>
    <w:rPr>
      <w:rFonts w:ascii="Tahoma" w:hAnsi="Tahoma"/>
      <w:sz w:val="16"/>
    </w:rPr>
  </w:style>
  <w:style w:styleId="Style_15_ch" w:type="character">
    <w:name w:val="Текст выноски"/>
    <w:basedOn w:val="Style_3_ch"/>
    <w:link w:val="Style_15"/>
    <w:rPr>
      <w:rFonts w:ascii="Tahoma" w:hAnsi="Tahoma"/>
      <w:sz w:val="16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heading 5"/>
    <w:next w:val="Style_3"/>
    <w:link w:val="Style_1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7_ch" w:type="character">
    <w:name w:val="heading 5"/>
    <w:link w:val="Style_17"/>
    <w:rPr>
      <w:rFonts w:ascii="XO Thames" w:hAnsi="XO Thames"/>
      <w:b w:val="1"/>
      <w:sz w:val="22"/>
    </w:rPr>
  </w:style>
  <w:style w:styleId="Style_18" w:type="paragraph">
    <w:name w:val="Заголовок"/>
    <w:basedOn w:val="Style_3"/>
    <w:next w:val="Style_19"/>
    <w:link w:val="Style_18_ch"/>
    <w:pPr>
      <w:keepNext w:val="1"/>
      <w:spacing w:after="120" w:before="240"/>
      <w:ind/>
    </w:pPr>
    <w:rPr>
      <w:rFonts w:ascii="Times New Roman" w:hAnsi="Times New Roman"/>
      <w:sz w:val="28"/>
    </w:rPr>
  </w:style>
  <w:style w:styleId="Style_18_ch" w:type="character">
    <w:name w:val="Заголовок"/>
    <w:basedOn w:val="Style_3_ch"/>
    <w:link w:val="Style_18"/>
    <w:rPr>
      <w:rFonts w:ascii="Times New Roman" w:hAnsi="Times New Roman"/>
      <w:sz w:val="28"/>
    </w:rPr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20" w:type="paragraph">
    <w:name w:val="heading 1"/>
    <w:next w:val="Style_3"/>
    <w:link w:val="Style_2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0_ch" w:type="character">
    <w:name w:val="heading 1"/>
    <w:link w:val="Style_20"/>
    <w:rPr>
      <w:rFonts w:ascii="XO Thames" w:hAnsi="XO Thames"/>
      <w:b w:val="1"/>
      <w:sz w:val="32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ind w:firstLine="851" w:left="0"/>
      <w:jc w:val="both"/>
    </w:pPr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List"/>
    <w:basedOn w:val="Style_19"/>
    <w:link w:val="Style_23_ch"/>
    <w:rPr>
      <w:rFonts w:ascii="Times New Roman" w:hAnsi="Times New Roman"/>
    </w:rPr>
  </w:style>
  <w:style w:styleId="Style_23_ch" w:type="character">
    <w:name w:val="List"/>
    <w:basedOn w:val="Style_19_ch"/>
    <w:link w:val="Style_23"/>
    <w:rPr>
      <w:rFonts w:ascii="Times New Roman" w:hAnsi="Times New Roman"/>
    </w:rPr>
  </w:style>
  <w:style w:styleId="Style_24" w:type="paragraph">
    <w:name w:val="toc 1"/>
    <w:next w:val="Style_3"/>
    <w:link w:val="Style_2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4_ch" w:type="character">
    <w:name w:val="toc 1"/>
    <w:link w:val="Style_24"/>
    <w:rPr>
      <w:rFonts w:ascii="XO Thames" w:hAnsi="XO Thames"/>
      <w:b w:val="1"/>
      <w:sz w:val="28"/>
    </w:rPr>
  </w:style>
  <w:style w:styleId="Style_25" w:type="paragraph">
    <w:name w:val="Header and Footer"/>
    <w:link w:val="Style_25_ch"/>
    <w:pPr>
      <w:spacing w:line="240" w:lineRule="auto"/>
      <w:ind/>
      <w:jc w:val="both"/>
    </w:pPr>
    <w:rPr>
      <w:rFonts w:ascii="XO Thames" w:hAnsi="XO Thames"/>
      <w:sz w:val="28"/>
    </w:rPr>
  </w:style>
  <w:style w:styleId="Style_25_ch" w:type="character">
    <w:name w:val="Header and Footer"/>
    <w:link w:val="Style_25"/>
    <w:rPr>
      <w:rFonts w:ascii="XO Thames" w:hAnsi="XO Thames"/>
      <w:sz w:val="28"/>
    </w:rPr>
  </w:style>
  <w:style w:styleId="Style_26" w:type="paragraph">
    <w:name w:val="Основной шрифт абзаца"/>
    <w:link w:val="Style_26_ch"/>
  </w:style>
  <w:style w:styleId="Style_26_ch" w:type="character">
    <w:name w:val="Основной шрифт абзаца"/>
    <w:link w:val="Style_26"/>
  </w:style>
  <w:style w:styleId="Style_27" w:type="paragraph">
    <w:name w:val="toc 9"/>
    <w:next w:val="Style_3"/>
    <w:link w:val="Style_2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7_ch" w:type="character">
    <w:name w:val="toc 9"/>
    <w:link w:val="Style_27"/>
    <w:rPr>
      <w:rFonts w:ascii="XO Thames" w:hAnsi="XO Thames"/>
      <w:sz w:val="28"/>
    </w:rPr>
  </w:style>
  <w:style w:styleId="Style_19" w:type="paragraph">
    <w:name w:val="Body Text"/>
    <w:basedOn w:val="Style_3"/>
    <w:link w:val="Style_19_ch"/>
    <w:pPr>
      <w:spacing w:after="140" w:before="0" w:line="276" w:lineRule="auto"/>
      <w:ind/>
    </w:pPr>
  </w:style>
  <w:style w:styleId="Style_19_ch" w:type="character">
    <w:name w:val="Body Text"/>
    <w:basedOn w:val="Style_3_ch"/>
    <w:link w:val="Style_19"/>
  </w:style>
  <w:style w:styleId="Style_28" w:type="paragraph">
    <w:name w:val="toc 8"/>
    <w:next w:val="Style_3"/>
    <w:link w:val="Style_2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8_ch" w:type="character">
    <w:name w:val="toc 8"/>
    <w:link w:val="Style_28"/>
    <w:rPr>
      <w:rFonts w:ascii="XO Thames" w:hAnsi="XO Thames"/>
      <w:sz w:val="28"/>
    </w:rPr>
  </w:style>
  <w:style w:styleId="Style_29" w:type="paragraph">
    <w:name w:val="caption"/>
    <w:basedOn w:val="Style_3"/>
    <w:link w:val="Style_29_ch"/>
    <w:pPr>
      <w:spacing w:after="120" w:before="120"/>
      <w:ind/>
    </w:pPr>
    <w:rPr>
      <w:rFonts w:ascii="Times New Roman" w:hAnsi="Times New Roman"/>
      <w:i w:val="1"/>
      <w:sz w:val="24"/>
    </w:rPr>
  </w:style>
  <w:style w:styleId="Style_29_ch" w:type="character">
    <w:name w:val="caption"/>
    <w:basedOn w:val="Style_3_ch"/>
    <w:link w:val="Style_29"/>
    <w:rPr>
      <w:rFonts w:ascii="Times New Roman" w:hAnsi="Times New Roman"/>
      <w:i w:val="1"/>
      <w:sz w:val="24"/>
    </w:rPr>
  </w:style>
  <w:style w:styleId="Style_30" w:type="paragraph">
    <w:name w:val="toc 5"/>
    <w:next w:val="Style_3"/>
    <w:link w:val="Style_3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0_ch" w:type="character">
    <w:name w:val="toc 5"/>
    <w:link w:val="Style_30"/>
    <w:rPr>
      <w:rFonts w:ascii="XO Thames" w:hAnsi="XO Thames"/>
      <w:sz w:val="28"/>
    </w:rPr>
  </w:style>
  <w:style w:styleId="Style_2" w:type="paragraph">
    <w:name w:val="page number"/>
    <w:basedOn w:val="Style_26"/>
    <w:link w:val="Style_2_ch"/>
  </w:style>
  <w:style w:styleId="Style_2_ch" w:type="character">
    <w:name w:val="page number"/>
    <w:basedOn w:val="Style_26_ch"/>
    <w:link w:val="Style_2"/>
  </w:style>
  <w:style w:styleId="Style_31" w:type="paragraph">
    <w:name w:val="ConsPlusNormal"/>
    <w:link w:val="Style_31_ch"/>
    <w:pPr>
      <w:widowControl w:val="0"/>
      <w:ind w:firstLine="720" w:left="0" w:right="0"/>
    </w:pPr>
    <w:rPr>
      <w:rFonts w:ascii="Arial" w:hAnsi="Arial"/>
      <w:color w:val="000000"/>
      <w:sz w:val="20"/>
    </w:rPr>
  </w:style>
  <w:style w:styleId="Style_31_ch" w:type="character">
    <w:name w:val="ConsPlusNormal"/>
    <w:link w:val="Style_31"/>
    <w:rPr>
      <w:rFonts w:ascii="Arial" w:hAnsi="Arial"/>
      <w:color w:val="000000"/>
      <w:sz w:val="20"/>
    </w:rPr>
  </w:style>
  <w:style w:styleId="Style_32" w:type="paragraph">
    <w:name w:val="Subtitle"/>
    <w:next w:val="Style_3"/>
    <w:link w:val="Style_3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2_ch" w:type="character">
    <w:name w:val="Subtitle"/>
    <w:link w:val="Style_32"/>
    <w:rPr>
      <w:rFonts w:ascii="XO Thames" w:hAnsi="XO Thames"/>
      <w:i w:val="1"/>
      <w:sz w:val="24"/>
    </w:rPr>
  </w:style>
  <w:style w:styleId="Style_33" w:type="paragraph">
    <w:name w:val="Title"/>
    <w:next w:val="Style_3"/>
    <w:link w:val="Style_3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3_ch" w:type="character">
    <w:name w:val="Title"/>
    <w:link w:val="Style_33"/>
    <w:rPr>
      <w:rFonts w:ascii="XO Thames" w:hAnsi="XO Thames"/>
      <w:b w:val="1"/>
      <w:caps w:val="1"/>
      <w:sz w:val="40"/>
    </w:rPr>
  </w:style>
  <w:style w:styleId="Style_34" w:type="paragraph">
    <w:name w:val="heading 4"/>
    <w:next w:val="Style_3"/>
    <w:link w:val="Style_3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4_ch" w:type="character">
    <w:name w:val="heading 4"/>
    <w:link w:val="Style_34"/>
    <w:rPr>
      <w:rFonts w:ascii="XO Thames" w:hAnsi="XO Thames"/>
      <w:b w:val="1"/>
      <w:sz w:val="24"/>
    </w:rPr>
  </w:style>
  <w:style w:styleId="Style_35" w:type="paragraph">
    <w:name w:val="Содержимое врезки"/>
    <w:basedOn w:val="Style_3"/>
    <w:link w:val="Style_35_ch"/>
  </w:style>
  <w:style w:styleId="Style_35_ch" w:type="character">
    <w:name w:val="Содержимое врезки"/>
    <w:basedOn w:val="Style_3_ch"/>
    <w:link w:val="Style_35"/>
  </w:style>
  <w:style w:styleId="Style_36" w:type="paragraph">
    <w:name w:val="heading 2"/>
    <w:next w:val="Style_3"/>
    <w:link w:val="Style_3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6_ch" w:type="character">
    <w:name w:val="heading 2"/>
    <w:link w:val="Style_36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2025-01-20T08:28:15Z</dcterms:modified>
</cp:coreProperties>
</file>